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 w:rsidR="0053203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F14393" w:rsidRPr="00071EDC">
        <w:rPr>
          <w:rFonts w:ascii="Times New Roman" w:hAnsi="Times New Roman"/>
          <w:sz w:val="28"/>
          <w:szCs w:val="28"/>
        </w:rPr>
        <w:t>31.08.59 Офтальмология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F14393" w:rsidRPr="00071EDC">
        <w:rPr>
          <w:rFonts w:ascii="Times New Roman" w:hAnsi="Times New Roman"/>
          <w:sz w:val="28"/>
          <w:szCs w:val="28"/>
        </w:rPr>
        <w:t>31.08.59 Офтальмология</w:t>
      </w:r>
      <w:r w:rsidR="00F14393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373EB2" w:rsidRPr="00071EDC">
        <w:rPr>
          <w:rFonts w:ascii="Times New Roman" w:hAnsi="Times New Roman" w:cs="Times New Roman"/>
          <w:color w:val="000000"/>
          <w:sz w:val="28"/>
          <w:szCs w:val="28"/>
        </w:rPr>
        <w:t>офтальмологии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64FC5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64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64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64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64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64FC5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7C011C" w:rsidP="007C01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1EDC">
              <w:rPr>
                <w:rFonts w:ascii="Times New Roman" w:hAnsi="Times New Roman"/>
                <w:sz w:val="28"/>
                <w:szCs w:val="28"/>
              </w:rPr>
              <w:t>31.08.59 Офтальмология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5D0D4D" w:rsidRDefault="005008CD" w:rsidP="007C01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1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7C011C" w:rsidRPr="00071EDC">
              <w:rPr>
                <w:rFonts w:ascii="Times New Roman" w:hAnsi="Times New Roman"/>
                <w:color w:val="000000"/>
                <w:sz w:val="28"/>
                <w:szCs w:val="28"/>
              </w:rPr>
              <w:t>офтальмолог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D75C52" w:rsidRDefault="005008CD" w:rsidP="00764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D75C52" w:rsidRDefault="005008CD" w:rsidP="00764FC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64FC5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64FC5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D75C52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5D0D4D" w:rsidRDefault="005008CD" w:rsidP="007C011C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71EDC">
              <w:rPr>
                <w:rFonts w:ascii="Times New Roman" w:hAnsi="Times New Roman"/>
                <w:sz w:val="28"/>
                <w:szCs w:val="28"/>
              </w:rPr>
              <w:t>31.08.</w:t>
            </w:r>
            <w:r w:rsidR="007C011C" w:rsidRPr="00071EDC">
              <w:rPr>
                <w:rFonts w:ascii="Times New Roman" w:hAnsi="Times New Roman"/>
                <w:sz w:val="28"/>
                <w:szCs w:val="28"/>
              </w:rPr>
              <w:t>59</w:t>
            </w:r>
            <w:r w:rsidRPr="00071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11C" w:rsidRPr="00071EDC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</w:tr>
      <w:tr w:rsidR="00CE1111" w:rsidRPr="004316EE" w:rsidTr="00764FC5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D75C52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64FC5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D75C52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64FC5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64FC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D75C52" w:rsidRDefault="00F21717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D75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64FC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:rsidTr="00531E20">
        <w:tc>
          <w:tcPr>
            <w:tcW w:w="1985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:rsidR="00F21717" w:rsidRPr="00637CFF" w:rsidRDefault="00F21717" w:rsidP="00764FC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:rsidTr="00531E20">
        <w:tc>
          <w:tcPr>
            <w:tcW w:w="1985" w:type="dxa"/>
            <w:vMerge w:val="restart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:rsidR="00F21717" w:rsidRPr="00637CFF" w:rsidRDefault="00F21717" w:rsidP="00764FC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:rsidTr="00531E20">
        <w:tc>
          <w:tcPr>
            <w:tcW w:w="1985" w:type="dxa"/>
            <w:vMerge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F21717" w:rsidRPr="00637CFF" w:rsidRDefault="00F2171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091377" w:rsidRPr="00822EE5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:rsidR="00091377" w:rsidRPr="005D0D4D" w:rsidRDefault="00091377" w:rsidP="00F57DD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373EB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Первичная и специализированная помощь населению </w:t>
            </w: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>при заболеваниях и/или состояниях глаза, его придаточного аппарата и орбиты</w:t>
            </w:r>
          </w:p>
        </w:tc>
        <w:tc>
          <w:tcPr>
            <w:tcW w:w="5387" w:type="dxa"/>
            <w:vAlign w:val="center"/>
          </w:tcPr>
          <w:p w:rsidR="00091377" w:rsidRPr="00071EDC" w:rsidRDefault="00091377" w:rsidP="006B0827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 w:rsidRPr="00071EDC">
              <w:rPr>
                <w:rStyle w:val="apple-style-span"/>
                <w:bCs/>
                <w:color w:val="000000"/>
              </w:rPr>
              <w:t xml:space="preserve">ПК-1. </w:t>
            </w:r>
            <w:r w:rsidR="00825D49" w:rsidRPr="00071EDC">
              <w:rPr>
                <w:rStyle w:val="apple-style-span"/>
                <w:bCs/>
                <w:color w:val="000000"/>
              </w:rPr>
              <w:t>Способен проводить обследования пациентов в целях выявления заболеваний и/или состояний глаза, его придаточного аппарата и орбиты, установливать диагноз</w:t>
            </w:r>
          </w:p>
        </w:tc>
      </w:tr>
      <w:tr w:rsidR="00091377" w:rsidRPr="00822EE5" w:rsidTr="00531E20">
        <w:tc>
          <w:tcPr>
            <w:tcW w:w="1985" w:type="dxa"/>
            <w:vMerge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91377" w:rsidRPr="005D0D4D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:rsidR="00091377" w:rsidRPr="00071EDC" w:rsidRDefault="00825D49" w:rsidP="00834A5E">
            <w:pPr>
              <w:spacing w:after="0" w:line="240" w:lineRule="auto"/>
              <w:rPr>
                <w:rFonts w:ascii="Times New Roman" w:hAnsi="Times New Roman"/>
              </w:rPr>
            </w:pPr>
            <w:r w:rsidRPr="00071EDC">
              <w:rPr>
                <w:rStyle w:val="apple-style-span"/>
                <w:bCs/>
                <w:color w:val="000000"/>
              </w:rPr>
              <w:t xml:space="preserve">ПК-2. Способен назначать лечение пациентам с заболеваниями и/или состояниями глаза, его придаточного аппарата и орбиты, контролировать его эффективность и безопасность </w:t>
            </w:r>
          </w:p>
        </w:tc>
      </w:tr>
      <w:tr w:rsidR="00091377" w:rsidRPr="00822EE5" w:rsidTr="00764FC5">
        <w:tc>
          <w:tcPr>
            <w:tcW w:w="1985" w:type="dxa"/>
            <w:vMerge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91377" w:rsidRPr="005D0D4D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91377" w:rsidRPr="00071EDC" w:rsidRDefault="00091377" w:rsidP="00825D49">
            <w:pPr>
              <w:snapToGrid w:val="0"/>
              <w:spacing w:after="0" w:line="240" w:lineRule="auto"/>
              <w:jc w:val="both"/>
            </w:pP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ПК-3. </w:t>
            </w:r>
            <w:r w:rsidR="00825D49" w:rsidRPr="00071EDC"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 и контролировать эффективность медицинской реабилитации пациентов с заболеваниями и/или состояниями глаза, его придаточного аппарата и орбиты, в том числе при реализации индивидуальных программ реабилитации или абилитации инвалидов</w:t>
            </w:r>
          </w:p>
        </w:tc>
      </w:tr>
      <w:tr w:rsidR="00091377" w:rsidRPr="00822EE5" w:rsidTr="00764FC5">
        <w:tc>
          <w:tcPr>
            <w:tcW w:w="1985" w:type="dxa"/>
            <w:vMerge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91377" w:rsidRPr="005D0D4D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91377" w:rsidRPr="00071EDC" w:rsidRDefault="00091377" w:rsidP="009D3E4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ПК-4. </w:t>
            </w:r>
            <w:r w:rsidR="00825D49" w:rsidRPr="00071EDC"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 медицинские освидетельствования и медицинские экспертизы в отношении пациентов с заболеваниями и/или состояниями глаза, его придаточного аппарата и орбиты</w:t>
            </w:r>
          </w:p>
        </w:tc>
      </w:tr>
      <w:tr w:rsidR="00091377" w:rsidRPr="00822EE5" w:rsidTr="00764FC5">
        <w:tc>
          <w:tcPr>
            <w:tcW w:w="1985" w:type="dxa"/>
            <w:vMerge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91377" w:rsidRPr="005D0D4D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825D49" w:rsidRPr="00071EDC" w:rsidRDefault="00091377" w:rsidP="00825D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ПК-5. </w:t>
            </w:r>
            <w:r w:rsidR="00825D49" w:rsidRPr="00071EDC"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 и контролировать эффективность мероприятий по профилактике и формированию здорового образа</w:t>
            </w:r>
          </w:p>
          <w:p w:rsidR="00091377" w:rsidRPr="00071EDC" w:rsidRDefault="00825D49" w:rsidP="00825D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>жизни, санитарно-гигиеническому просвещению населения</w:t>
            </w:r>
          </w:p>
        </w:tc>
      </w:tr>
      <w:tr w:rsidR="00091377" w:rsidRPr="00822EE5" w:rsidTr="00764FC5">
        <w:tc>
          <w:tcPr>
            <w:tcW w:w="1985" w:type="dxa"/>
            <w:vMerge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91377" w:rsidRPr="005D0D4D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91377" w:rsidRPr="00071EDC" w:rsidRDefault="00091377" w:rsidP="00825D4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</w:t>
            </w:r>
            <w:r w:rsidR="00A93CE0" w:rsidRPr="00071EDC">
              <w:rPr>
                <w:rFonts w:ascii="Times New Roman" w:hAnsi="Times New Roman"/>
                <w:color w:val="000000"/>
                <w:shd w:val="clear" w:color="auto" w:fill="FFFFFF"/>
              </w:rPr>
              <w:t>Способен проводить анализ медико-статистической информации, вести медицинскую документацию, организовать деятельность находящегося в распоряжении медицинского персонала</w:t>
            </w:r>
          </w:p>
        </w:tc>
      </w:tr>
      <w:tr w:rsidR="00091377" w:rsidRPr="00822EE5" w:rsidTr="00764FC5">
        <w:tc>
          <w:tcPr>
            <w:tcW w:w="1985" w:type="dxa"/>
            <w:vMerge/>
            <w:vAlign w:val="center"/>
          </w:tcPr>
          <w:p w:rsidR="00091377" w:rsidRPr="00637CFF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091377" w:rsidRPr="005D0D4D" w:rsidRDefault="00091377" w:rsidP="00764FC5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:rsidR="00091377" w:rsidRPr="00071EDC" w:rsidRDefault="00091377" w:rsidP="00A93CE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71E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ПК-7. </w:t>
            </w:r>
            <w:r w:rsidR="00A93CE0" w:rsidRPr="00071EDC">
              <w:rPr>
                <w:rFonts w:ascii="Times New Roman" w:hAnsi="Times New Roman"/>
                <w:color w:val="000000"/>
                <w:shd w:val="clear" w:color="auto" w:fill="FFFFFF"/>
              </w:rPr>
              <w:t>Способен оказывать медицинскую помощь пациентам в экстренной форме</w:t>
            </w:r>
          </w:p>
        </w:tc>
      </w:tr>
    </w:tbl>
    <w:p w:rsidR="00CE1111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CE0" w:rsidRPr="00822EE5" w:rsidRDefault="00A93CE0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531E20">
        <w:tc>
          <w:tcPr>
            <w:tcW w:w="2577" w:type="dxa"/>
            <w:shd w:val="clear" w:color="auto" w:fill="auto"/>
          </w:tcPr>
          <w:p w:rsidR="00CE1111" w:rsidRPr="00071EDC" w:rsidRDefault="00CE1111" w:rsidP="007C0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</w:t>
            </w:r>
            <w:r w:rsidR="007C011C" w:rsidRPr="00071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1" w:type="dxa"/>
            <w:shd w:val="clear" w:color="auto" w:fill="auto"/>
          </w:tcPr>
          <w:p w:rsidR="00CE1111" w:rsidRPr="00071EDC" w:rsidRDefault="00CE1111" w:rsidP="007C011C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071E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7C011C" w:rsidRPr="00071EDC">
              <w:rPr>
                <w:rFonts w:ascii="Times New Roman" w:hAnsi="Times New Roman"/>
                <w:color w:val="000000"/>
                <w:sz w:val="28"/>
                <w:szCs w:val="28"/>
              </w:rPr>
              <w:t>офтальмолог</w:t>
            </w:r>
            <w:r w:rsidRPr="00071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</w:t>
            </w:r>
            <w:r w:rsidR="00071E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министерства труда и социальной защиты Российской федерации № 470н</w:t>
            </w:r>
            <w:r w:rsidR="00A15D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05 июня 2017 года</w:t>
            </w:r>
          </w:p>
        </w:tc>
        <w:tc>
          <w:tcPr>
            <w:tcW w:w="2883" w:type="dxa"/>
            <w:shd w:val="clear" w:color="auto" w:fill="auto"/>
          </w:tcPr>
          <w:p w:rsidR="00CE1111" w:rsidRPr="00071EDC" w:rsidRDefault="00531E20" w:rsidP="007C011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1EDC">
              <w:rPr>
                <w:rFonts w:ascii="Times New Roman" w:hAnsi="Times New Roman"/>
                <w:sz w:val="28"/>
                <w:szCs w:val="28"/>
              </w:rPr>
              <w:t>31.08.</w:t>
            </w:r>
            <w:r w:rsidR="007C011C" w:rsidRPr="00071EDC">
              <w:rPr>
                <w:rFonts w:ascii="Times New Roman" w:hAnsi="Times New Roman"/>
                <w:sz w:val="28"/>
                <w:szCs w:val="28"/>
              </w:rPr>
              <w:t>59</w:t>
            </w:r>
            <w:r w:rsidRPr="00071E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011C" w:rsidRPr="00071EDC">
              <w:rPr>
                <w:rFonts w:ascii="Times New Roman" w:hAnsi="Times New Roman"/>
                <w:sz w:val="28"/>
                <w:szCs w:val="28"/>
              </w:rPr>
              <w:t>Офтальмология</w:t>
            </w:r>
          </w:p>
        </w:tc>
        <w:tc>
          <w:tcPr>
            <w:tcW w:w="2081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12" w:rsidRDefault="001A1F12" w:rsidP="00CE1111">
      <w:pPr>
        <w:spacing w:after="0" w:line="240" w:lineRule="auto"/>
      </w:pPr>
      <w:r>
        <w:separator/>
      </w:r>
    </w:p>
  </w:endnote>
  <w:endnote w:type="continuationSeparator" w:id="0">
    <w:p w:rsidR="001A1F12" w:rsidRDefault="001A1F12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C5" w:rsidRDefault="002E673D">
    <w:pPr>
      <w:pStyle w:val="ab"/>
    </w:pPr>
    <w:r w:rsidRPr="00071EDC">
      <w:rPr>
        <w:rFonts w:ascii="Times New Roman" w:hAnsi="Times New Roman"/>
        <w:sz w:val="16"/>
        <w:szCs w:val="16"/>
      </w:rPr>
      <w:t xml:space="preserve">ФГОС ВО ординатура </w:t>
    </w:r>
    <w:r w:rsidR="00F14393" w:rsidRPr="00071EDC">
      <w:rPr>
        <w:rFonts w:ascii="Times New Roman" w:hAnsi="Times New Roman"/>
        <w:sz w:val="16"/>
        <w:szCs w:val="16"/>
      </w:rPr>
      <w:t>Офтальмология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C5" w:rsidRPr="007336D7" w:rsidRDefault="002A4A53" w:rsidP="00764FC5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  <w:r w:rsidR="002E673D">
      <w:rPr>
        <w:rFonts w:ascii="Times New Roman" w:hAnsi="Times New Roman"/>
        <w:sz w:val="16"/>
        <w:szCs w:val="16"/>
      </w:rPr>
      <w:t>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12" w:rsidRDefault="001A1F12" w:rsidP="00CE1111">
      <w:pPr>
        <w:spacing w:after="0" w:line="240" w:lineRule="auto"/>
      </w:pPr>
      <w:r>
        <w:separator/>
      </w:r>
    </w:p>
  </w:footnote>
  <w:footnote w:type="continuationSeparator" w:id="0">
    <w:p w:rsidR="001A1F12" w:rsidRDefault="001A1F12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C5" w:rsidRPr="000A7D42" w:rsidRDefault="007C2E2C" w:rsidP="00764FC5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532039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FC5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11"/>
    <w:rsid w:val="0000186C"/>
    <w:rsid w:val="00002D68"/>
    <w:rsid w:val="00030B52"/>
    <w:rsid w:val="00071EDC"/>
    <w:rsid w:val="0008140E"/>
    <w:rsid w:val="00091377"/>
    <w:rsid w:val="00093A1F"/>
    <w:rsid w:val="000A08C5"/>
    <w:rsid w:val="000C1A73"/>
    <w:rsid w:val="000C7A2E"/>
    <w:rsid w:val="000D24CE"/>
    <w:rsid w:val="000D5987"/>
    <w:rsid w:val="001001D3"/>
    <w:rsid w:val="00142555"/>
    <w:rsid w:val="001A1F12"/>
    <w:rsid w:val="001C1DBF"/>
    <w:rsid w:val="002136AB"/>
    <w:rsid w:val="002211DD"/>
    <w:rsid w:val="002A4A53"/>
    <w:rsid w:val="002A6E1A"/>
    <w:rsid w:val="002E41C5"/>
    <w:rsid w:val="002E5845"/>
    <w:rsid w:val="002E673D"/>
    <w:rsid w:val="00305780"/>
    <w:rsid w:val="003669B4"/>
    <w:rsid w:val="00370D6C"/>
    <w:rsid w:val="00373EB2"/>
    <w:rsid w:val="003D575A"/>
    <w:rsid w:val="00430B7B"/>
    <w:rsid w:val="004316EE"/>
    <w:rsid w:val="004455A2"/>
    <w:rsid w:val="004C4D81"/>
    <w:rsid w:val="005008CD"/>
    <w:rsid w:val="005020B4"/>
    <w:rsid w:val="00516FF7"/>
    <w:rsid w:val="00531E20"/>
    <w:rsid w:val="00532039"/>
    <w:rsid w:val="005655EF"/>
    <w:rsid w:val="00565725"/>
    <w:rsid w:val="005B7148"/>
    <w:rsid w:val="005C69CC"/>
    <w:rsid w:val="005D0D4D"/>
    <w:rsid w:val="005F7694"/>
    <w:rsid w:val="00683D41"/>
    <w:rsid w:val="006B0827"/>
    <w:rsid w:val="006B1BCC"/>
    <w:rsid w:val="006C2A32"/>
    <w:rsid w:val="006C4483"/>
    <w:rsid w:val="006D7940"/>
    <w:rsid w:val="007423A5"/>
    <w:rsid w:val="00743A60"/>
    <w:rsid w:val="00747941"/>
    <w:rsid w:val="00764FC5"/>
    <w:rsid w:val="00774C0F"/>
    <w:rsid w:val="007C011C"/>
    <w:rsid w:val="007C2E2C"/>
    <w:rsid w:val="007D6E3F"/>
    <w:rsid w:val="0081643A"/>
    <w:rsid w:val="00825D49"/>
    <w:rsid w:val="00834A5E"/>
    <w:rsid w:val="00872DFF"/>
    <w:rsid w:val="00891FFB"/>
    <w:rsid w:val="008A2273"/>
    <w:rsid w:val="008F6E47"/>
    <w:rsid w:val="00903F41"/>
    <w:rsid w:val="0090481D"/>
    <w:rsid w:val="00915AE7"/>
    <w:rsid w:val="00925A5F"/>
    <w:rsid w:val="00970F7A"/>
    <w:rsid w:val="00984552"/>
    <w:rsid w:val="009A04D5"/>
    <w:rsid w:val="009D3E42"/>
    <w:rsid w:val="009D5050"/>
    <w:rsid w:val="009E4966"/>
    <w:rsid w:val="00A01E24"/>
    <w:rsid w:val="00A15DB6"/>
    <w:rsid w:val="00A315BC"/>
    <w:rsid w:val="00A33027"/>
    <w:rsid w:val="00A8622B"/>
    <w:rsid w:val="00A93CE0"/>
    <w:rsid w:val="00AA0F5A"/>
    <w:rsid w:val="00AC3D07"/>
    <w:rsid w:val="00B3146D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D463C"/>
    <w:rsid w:val="00CE1111"/>
    <w:rsid w:val="00CF202E"/>
    <w:rsid w:val="00D04205"/>
    <w:rsid w:val="00D07A7F"/>
    <w:rsid w:val="00D75C52"/>
    <w:rsid w:val="00DA6F28"/>
    <w:rsid w:val="00DD3BB1"/>
    <w:rsid w:val="00E16619"/>
    <w:rsid w:val="00E90A45"/>
    <w:rsid w:val="00ED701D"/>
    <w:rsid w:val="00EF3077"/>
    <w:rsid w:val="00F14393"/>
    <w:rsid w:val="00F21717"/>
    <w:rsid w:val="00F32D53"/>
    <w:rsid w:val="00F57DD2"/>
    <w:rsid w:val="00F8798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0F6547-2AAF-4AE9-90FD-AE994D79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="Calibri" w:hAnsi="Arial"/>
      <w:sz w:val="12"/>
      <w:szCs w:val="12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styleId="af2">
    <w:name w:val="page number"/>
    <w:basedOn w:val="a0"/>
    <w:uiPriority w:val="99"/>
    <w:semiHidden/>
    <w:unhideWhenUsed/>
    <w:rsid w:val="002A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7A19-2D5A-44F1-B1EF-9E5558F6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24683</CharactersWithSpaces>
  <SharedDoc>false</SharedDoc>
  <HLinks>
    <vt:vector size="12" baseType="variant"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consultantplus://offline/ref=6C7ED189C16CD34C808DC92023D3512929E3A3C0334FE36CABB52EE859N7r8K</vt:lpwstr>
      </vt:variant>
      <vt:variant>
        <vt:lpwstr/>
      </vt:variant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2</cp:revision>
  <cp:lastPrinted>2018-04-24T07:41:00Z</cp:lastPrinted>
  <dcterms:created xsi:type="dcterms:W3CDTF">2019-08-22T08:11:00Z</dcterms:created>
  <dcterms:modified xsi:type="dcterms:W3CDTF">2019-08-22T08:11:00Z</dcterms:modified>
</cp:coreProperties>
</file>