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2A3800">
        <w:rPr>
          <w:rFonts w:ascii="Times New Roman" w:hAnsi="Times New Roman"/>
          <w:sz w:val="28"/>
          <w:szCs w:val="28"/>
        </w:rPr>
        <w:t>31.08.10 Судебно-медицинская экспертиза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2A3800">
        <w:rPr>
          <w:rFonts w:ascii="Times New Roman" w:hAnsi="Times New Roman"/>
          <w:sz w:val="28"/>
          <w:szCs w:val="28"/>
        </w:rPr>
        <w:t>31.08.10 Судебно-медицинская экспертиза</w:t>
      </w:r>
      <w:r w:rsidR="00887AD2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2A3800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секционные помещения,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2A3800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31.08.10 Судебно-медицинская экспертиза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2A3800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судебно-медицинский эксперт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2A380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31.08.10 Судебно-медицинская экспертиза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2A3800" w:rsidRPr="00822EE5" w:rsidTr="002A3800">
        <w:trPr>
          <w:trHeight w:val="575"/>
        </w:trPr>
        <w:tc>
          <w:tcPr>
            <w:tcW w:w="1985" w:type="dxa"/>
            <w:vMerge w:val="restart"/>
            <w:vAlign w:val="center"/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2A3800" w:rsidRPr="00637CFF" w:rsidRDefault="002A3800" w:rsidP="002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населению по профилю «Судебно-медицинская экспертиза»</w:t>
            </w:r>
          </w:p>
        </w:tc>
        <w:tc>
          <w:tcPr>
            <w:tcW w:w="5387" w:type="dxa"/>
            <w:vAlign w:val="center"/>
          </w:tcPr>
          <w:p w:rsidR="002A3800" w:rsidRDefault="002A3800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ПК-1. Способен проводить судебно-медицинскую экспертизу (исследование) трупа</w:t>
            </w:r>
          </w:p>
        </w:tc>
      </w:tr>
      <w:tr w:rsidR="002A3800" w:rsidRPr="00822EE5" w:rsidTr="00531E20">
        <w:tc>
          <w:tcPr>
            <w:tcW w:w="1985" w:type="dxa"/>
            <w:vMerge/>
            <w:vAlign w:val="center"/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2A3800" w:rsidRDefault="002A3800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ПК-2. Способен проводить судебно-медицинскую экспертизу (исследование) в отношении живого лица</w:t>
            </w:r>
          </w:p>
        </w:tc>
      </w:tr>
      <w:tr w:rsidR="002A3800" w:rsidRPr="00822EE5" w:rsidTr="00821ADE">
        <w:tc>
          <w:tcPr>
            <w:tcW w:w="1985" w:type="dxa"/>
            <w:vMerge/>
            <w:vAlign w:val="center"/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2A3800" w:rsidRDefault="002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п</w:t>
            </w:r>
            <w:r>
              <w:rPr>
                <w:rFonts w:ascii="Times New Roman" w:hAnsi="Times New Roman"/>
                <w:color w:val="000000"/>
              </w:rPr>
              <w:t xml:space="preserve">роводить </w:t>
            </w:r>
            <w:r>
              <w:rPr>
                <w:rStyle w:val="apple-style-span"/>
                <w:bCs/>
                <w:color w:val="000000"/>
              </w:rPr>
              <w:t>судебно-медицинскую экспертизу (исследование) вещественных доказательств объектов биологического и иного происхождения</w:t>
            </w:r>
          </w:p>
        </w:tc>
      </w:tr>
      <w:tr w:rsidR="002A3800" w:rsidRPr="00822EE5" w:rsidTr="00821ADE">
        <w:tc>
          <w:tcPr>
            <w:tcW w:w="1985" w:type="dxa"/>
            <w:vMerge/>
            <w:vAlign w:val="center"/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2A3800" w:rsidRDefault="002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ПК-4. Способен проводить анализ медико-статистической информации, 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</w:t>
            </w:r>
          </w:p>
        </w:tc>
      </w:tr>
      <w:tr w:rsidR="002A3800" w:rsidRPr="00822EE5" w:rsidTr="00EE41D3">
        <w:tc>
          <w:tcPr>
            <w:tcW w:w="1985" w:type="dxa"/>
            <w:vMerge/>
            <w:vAlign w:val="center"/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A3800" w:rsidRPr="00637CFF" w:rsidRDefault="002A380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2A3800" w:rsidRDefault="002A3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ПК-5. Способен о</w:t>
            </w:r>
            <w:r>
              <w:rPr>
                <w:rFonts w:ascii="Times New Roman" w:hAnsi="Times New Roman"/>
                <w:color w:val="000000"/>
              </w:rPr>
              <w:t>казывать медицинскую помощь пациентам в экстренной форме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2A3800">
              <w:rPr>
                <w:rFonts w:ascii="Times New Roman" w:hAnsi="Times New Roman"/>
                <w:color w:val="000000"/>
                <w:sz w:val="28"/>
                <w:szCs w:val="28"/>
              </w:rPr>
              <w:t>Врач – судебно-медицинский эксперт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2A3800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31.08.10 Судебно-медицинская экспертиза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F32D53" w:rsidRDefault="00F32D53"/>
    <w:sectPr w:rsidR="00F32D53" w:rsidSect="004666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FE" w:rsidRDefault="002377FE" w:rsidP="00CE1111">
      <w:pPr>
        <w:spacing w:after="0" w:line="240" w:lineRule="auto"/>
      </w:pPr>
      <w:r>
        <w:separator/>
      </w:r>
    </w:p>
  </w:endnote>
  <w:endnote w:type="continuationSeparator" w:id="1">
    <w:p w:rsidR="002377FE" w:rsidRDefault="002377FE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46666A">
      <w:rPr>
        <w:rFonts w:ascii="Times New Roman" w:hAnsi="Times New Roman"/>
        <w:sz w:val="16"/>
        <w:szCs w:val="16"/>
      </w:rPr>
      <w:t xml:space="preserve"> Судебно-медицинская экспертиза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FE" w:rsidRDefault="002377FE" w:rsidP="00CE1111">
      <w:pPr>
        <w:spacing w:after="0" w:line="240" w:lineRule="auto"/>
      </w:pPr>
      <w:r>
        <w:separator/>
      </w:r>
    </w:p>
  </w:footnote>
  <w:footnote w:type="continuationSeparator" w:id="1">
    <w:p w:rsidR="002377FE" w:rsidRDefault="002377FE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482C70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46666A">
      <w:rPr>
        <w:rFonts w:ascii="Times New Roman" w:hAnsi="Times New Roman"/>
        <w:noProof/>
        <w:sz w:val="24"/>
      </w:rPr>
      <w:t>3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501EE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377FE"/>
    <w:rsid w:val="002A3800"/>
    <w:rsid w:val="002E5845"/>
    <w:rsid w:val="002E673D"/>
    <w:rsid w:val="00305780"/>
    <w:rsid w:val="003669B4"/>
    <w:rsid w:val="00370D6C"/>
    <w:rsid w:val="003D6533"/>
    <w:rsid w:val="00402956"/>
    <w:rsid w:val="00430B7B"/>
    <w:rsid w:val="004316EE"/>
    <w:rsid w:val="004455A2"/>
    <w:rsid w:val="0046666A"/>
    <w:rsid w:val="00482C70"/>
    <w:rsid w:val="004A14DE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81643A"/>
    <w:rsid w:val="00872397"/>
    <w:rsid w:val="00872DFF"/>
    <w:rsid w:val="00887AD2"/>
    <w:rsid w:val="00891FFB"/>
    <w:rsid w:val="008A2273"/>
    <w:rsid w:val="00903F41"/>
    <w:rsid w:val="00915AE7"/>
    <w:rsid w:val="00925A5F"/>
    <w:rsid w:val="00984552"/>
    <w:rsid w:val="009A04D5"/>
    <w:rsid w:val="009A05F4"/>
    <w:rsid w:val="009D5050"/>
    <w:rsid w:val="009E4966"/>
    <w:rsid w:val="00A315BC"/>
    <w:rsid w:val="00A33027"/>
    <w:rsid w:val="00AA0F5A"/>
    <w:rsid w:val="00B3293E"/>
    <w:rsid w:val="00B44C03"/>
    <w:rsid w:val="00B46D44"/>
    <w:rsid w:val="00B55840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61E80"/>
    <w:rsid w:val="00DA6F28"/>
    <w:rsid w:val="00DD3BB1"/>
    <w:rsid w:val="00E16619"/>
    <w:rsid w:val="00E90A45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6</cp:revision>
  <cp:lastPrinted>2018-04-24T07:41:00Z</cp:lastPrinted>
  <dcterms:created xsi:type="dcterms:W3CDTF">2018-04-25T11:47:00Z</dcterms:created>
  <dcterms:modified xsi:type="dcterms:W3CDTF">2018-05-23T13:29:00Z</dcterms:modified>
</cp:coreProperties>
</file>