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6F683D">
        <w:rPr>
          <w:rFonts w:ascii="Times New Roman" w:hAnsi="Times New Roman"/>
          <w:color w:val="000000"/>
          <w:sz w:val="28"/>
        </w:rPr>
        <w:t xml:space="preserve">31.09.13 Детская </w:t>
      </w:r>
      <w:r w:rsidR="006F683D">
        <w:rPr>
          <w:rFonts w:ascii="Times New Roman" w:hAnsi="Times New Roman"/>
          <w:color w:val="000000"/>
          <w:sz w:val="28"/>
        </w:rPr>
        <w:lastRenderedPageBreak/>
        <w:t>кардиология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и (или) программу ординатуры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1C4E37">
        <w:rPr>
          <w:rFonts w:ascii="Times New Roman" w:hAnsi="Times New Roman"/>
          <w:color w:val="000000"/>
          <w:sz w:val="28"/>
        </w:rPr>
        <w:t>31.09.13 Детская кардиология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1C4E37">
        <w:rPr>
          <w:rFonts w:ascii="Times New Roman" w:hAnsi="Times New Roman"/>
          <w:color w:val="000000"/>
          <w:sz w:val="28"/>
        </w:rPr>
        <w:t>31.09.13 Детская кардиология</w:t>
      </w:r>
      <w:r w:rsidR="001C4E37" w:rsidRPr="0043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6F683D">
        <w:rPr>
          <w:rFonts w:ascii="Times New Roman" w:hAnsi="Times New Roman"/>
          <w:color w:val="000000"/>
          <w:sz w:val="28"/>
        </w:rPr>
        <w:t xml:space="preserve">31.09.13 Детская кардиология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6F683D">
        <w:rPr>
          <w:rFonts w:ascii="Times New Roman" w:hAnsi="Times New Roman"/>
          <w:color w:val="000000"/>
          <w:sz w:val="28"/>
        </w:rPr>
        <w:t>31.09.13 Детская кардиология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6F683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31.09.13 Детская кардиология</w:t>
            </w:r>
            <w:r w:rsidR="009E4966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6F683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детский кардиолог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6F683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31.09.13 Детская кардиология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6F683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детский кардиолог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6F683D" w:rsidRPr="00822EE5" w:rsidRDefault="006F683D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6F683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31.09.13 Детская кардиология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6F683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31.09.13 Детская кардиология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683D" w:rsidRDefault="006F683D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6F683D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683D">
              <w:rPr>
                <w:rFonts w:ascii="Times New Roman" w:hAnsi="Times New Roman"/>
                <w:b/>
                <w:color w:val="000000"/>
              </w:rPr>
              <w:t>31.09.13 Детская кардиология</w:t>
            </w:r>
            <w:r w:rsidRPr="009E49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6F683D" w:rsidRPr="006F683D">
              <w:rPr>
                <w:rFonts w:ascii="Times New Roman" w:hAnsi="Times New Roman"/>
                <w:b/>
                <w:color w:val="000000"/>
              </w:rPr>
              <w:t>31.09.13 Детская кардиология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18467F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lastRenderedPageBreak/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6F68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специализированная медико-санитарная помощь по профилю «Детская кардиология» в амбулаторных условиях</w:t>
            </w:r>
          </w:p>
        </w:tc>
        <w:tc>
          <w:tcPr>
            <w:tcW w:w="3119" w:type="dxa"/>
            <w:vAlign w:val="center"/>
          </w:tcPr>
          <w:p w:rsidR="0018467F" w:rsidRDefault="0018467F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ПК-1. Способен проводить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обследование детей  при  заболеваниях и (или) состояниях сердечно-сосудистой системы с целью постановки диагноза </w:t>
            </w:r>
            <w:r>
              <w:rPr>
                <w:rStyle w:val="apple-style-span"/>
                <w:bCs/>
                <w:color w:val="000000"/>
              </w:rPr>
              <w:t>в амбулаторных условиях</w:t>
            </w:r>
          </w:p>
        </w:tc>
        <w:tc>
          <w:tcPr>
            <w:tcW w:w="3260" w:type="dxa"/>
            <w:vAlign w:val="center"/>
          </w:tcPr>
          <w:p w:rsidR="0018467F" w:rsidRPr="00637CFF" w:rsidRDefault="0018467F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8467F" w:rsidRDefault="0018467F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ПК-2. Способен </w:t>
            </w:r>
            <w:r>
              <w:rPr>
                <w:rFonts w:ascii="Times New Roman" w:hAnsi="Times New Roman"/>
                <w:bCs/>
                <w:color w:val="000000"/>
              </w:rPr>
              <w:t xml:space="preserve">назначать лечение детям при заболеваниях и (или) состояниях  сердечно-сосудистой системы и осуществлять контроль его эффективности и безопасности </w:t>
            </w:r>
            <w:r>
              <w:rPr>
                <w:rStyle w:val="apple-style-span"/>
                <w:bCs/>
                <w:color w:val="000000"/>
              </w:rPr>
              <w:t>в амбулаторных условиях</w:t>
            </w:r>
          </w:p>
        </w:tc>
        <w:tc>
          <w:tcPr>
            <w:tcW w:w="3260" w:type="dxa"/>
          </w:tcPr>
          <w:p w:rsidR="0018467F" w:rsidRPr="00637CFF" w:rsidRDefault="0018467F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8467F" w:rsidRDefault="001846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р</w:t>
            </w:r>
            <w:r>
              <w:rPr>
                <w:rFonts w:ascii="Times New Roman" w:hAnsi="Times New Roman"/>
                <w:bCs/>
                <w:color w:val="000000"/>
              </w:rPr>
              <w:t xml:space="preserve">еализовывать и контролировать эффективность медицинской реабилитации детей при заболеваниях и (или) состояниях  сердечно-сосудистой системы, в том числе, при реализации индивидуальных программ реабилитации и реабилитации ребёнка-инвалида </w:t>
            </w:r>
            <w:r>
              <w:rPr>
                <w:rStyle w:val="apple-style-span"/>
                <w:bCs/>
                <w:color w:val="000000"/>
              </w:rPr>
              <w:t>в амбулаторных условиях</w:t>
            </w:r>
          </w:p>
        </w:tc>
        <w:tc>
          <w:tcPr>
            <w:tcW w:w="3260" w:type="dxa"/>
          </w:tcPr>
          <w:p w:rsidR="0018467F" w:rsidRPr="00637CFF" w:rsidRDefault="0018467F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8467F" w:rsidRDefault="001846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ПК-4. Способен </w:t>
            </w:r>
            <w:r>
              <w:rPr>
                <w:rFonts w:ascii="Times New Roman" w:hAnsi="Times New Roman"/>
                <w:bCs/>
                <w:color w:val="000000"/>
              </w:rPr>
              <w:t xml:space="preserve">проводить и контролировать эффективность мероприятий по первичной и вторичной профилактике заболеваний и (или) состояний сердечно-сосудистой системы, формированию здорового образа жизни и санитарно-гигиеническому просвещению населения </w:t>
            </w:r>
            <w:r>
              <w:rPr>
                <w:rStyle w:val="apple-style-span"/>
                <w:bCs/>
                <w:color w:val="000000"/>
              </w:rPr>
              <w:t>в амбулаторных условиях</w:t>
            </w:r>
          </w:p>
        </w:tc>
        <w:tc>
          <w:tcPr>
            <w:tcW w:w="3260" w:type="dxa"/>
          </w:tcPr>
          <w:p w:rsidR="0018467F" w:rsidRPr="00637CFF" w:rsidRDefault="0018467F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467F" w:rsidRPr="00822EE5" w:rsidTr="00F41D55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18467F" w:rsidRDefault="00184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</w:rPr>
              <w:t xml:space="preserve">ПК-5. Способен проводить 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 </w:t>
            </w:r>
            <w:r>
              <w:rPr>
                <w:rFonts w:ascii="Times New Roman" w:hAnsi="Times New Roman"/>
                <w:color w:val="000000"/>
              </w:rPr>
              <w:t>в амбулаторных условиях</w:t>
            </w:r>
          </w:p>
        </w:tc>
        <w:tc>
          <w:tcPr>
            <w:tcW w:w="3260" w:type="dxa"/>
          </w:tcPr>
          <w:p w:rsidR="0018467F" w:rsidRPr="00637CFF" w:rsidRDefault="0018467F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8467F" w:rsidRDefault="001846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ПК-6. Способен о</w:t>
            </w:r>
            <w:r>
              <w:rPr>
                <w:rFonts w:ascii="Times New Roman" w:hAnsi="Times New Roman"/>
                <w:color w:val="000000"/>
              </w:rPr>
              <w:t>казывать неотложную медицинскую помощь пациентам в амбулаторных условиях</w:t>
            </w:r>
          </w:p>
        </w:tc>
        <w:tc>
          <w:tcPr>
            <w:tcW w:w="3260" w:type="dxa"/>
          </w:tcPr>
          <w:p w:rsidR="0018467F" w:rsidRPr="00637CFF" w:rsidRDefault="0018467F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467F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8467F" w:rsidRPr="00637CFF" w:rsidRDefault="0018467F" w:rsidP="0018467F">
            <w:pPr>
              <w:spacing w:after="0" w:line="240" w:lineRule="auto"/>
              <w:rPr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Специализированная медицинская помощь по профилю «</w:t>
            </w:r>
            <w:r>
              <w:rPr>
                <w:rFonts w:ascii="Times New Roman" w:hAnsi="Times New Roman"/>
                <w:color w:val="000000"/>
              </w:rPr>
              <w:t>Детская кардиология</w:t>
            </w:r>
            <w:r w:rsidRPr="00637CFF">
              <w:rPr>
                <w:rFonts w:ascii="Times New Roman" w:hAnsi="Times New Roman"/>
                <w:color w:val="000000"/>
              </w:rPr>
              <w:t>» в стационарных условиях, а также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18467F" w:rsidRPr="00637CFF" w:rsidRDefault="0018467F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</w:tcPr>
          <w:p w:rsidR="0018467F" w:rsidRDefault="0018467F" w:rsidP="0018467F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ПК-7. Способен </w:t>
            </w:r>
            <w:r>
              <w:rPr>
                <w:rFonts w:ascii="Times New Roman" w:hAnsi="Times New Roman"/>
                <w:bCs/>
                <w:color w:val="000000"/>
              </w:rPr>
              <w:t xml:space="preserve">проводить обследование детей при заболеваниях и (или) состояниях сердечно-сосудистой системы с целью постановки диагноза при оказании специализированной медицинской помощи </w:t>
            </w:r>
            <w:r>
              <w:rPr>
                <w:rFonts w:ascii="Times New Roman" w:hAnsi="Times New Roman"/>
                <w:color w:val="000000"/>
              </w:rPr>
              <w:t>в стационарных условиях, а также в условиях дневного стационара</w:t>
            </w:r>
          </w:p>
        </w:tc>
      </w:tr>
      <w:tr w:rsidR="0018467F" w:rsidRPr="00822EE5" w:rsidTr="009E4966">
        <w:trPr>
          <w:trHeight w:val="3036"/>
        </w:trPr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8467F" w:rsidRPr="00637CFF" w:rsidRDefault="0018467F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67F" w:rsidRDefault="0018467F" w:rsidP="001846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ПК-8. Способен назначать лечение детям при заболеваниях и (или) состояниях сердечно-сосудистой системы, контролировать его эффективность и безопасность при оказании специализированной медицинской помощи в стационарных условиях, а также в условиях дневного стационара 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F" w:rsidRDefault="0018467F" w:rsidP="001846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ПК-9. Способен реализовывать и контролировать эффективность медицинской реабилитации детей при заболеваниях и (или) состояниях сердечно-сосудистой системы, в том числе, при реализации индивидуальных программ реабилитации и реабилитации ребёнка-инвалида в стационарных условиях, а также в условиях дневного стационара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8467F" w:rsidRPr="00637CFF" w:rsidRDefault="0018467F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F" w:rsidRDefault="0018467F" w:rsidP="001846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проводить и контролировать эффективность мероприятий по первичной и вторичной профилактике заболеваний и (или) состояний сердечно-сосудистой системы, формированию здорового образа жизни и санитарно-гигиеническому просвещению населения в стационарных условиях, а также в условиях дневного стационара</w:t>
            </w:r>
          </w:p>
        </w:tc>
      </w:tr>
      <w:tr w:rsidR="0018467F" w:rsidRPr="00822EE5" w:rsidTr="009E4966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F" w:rsidRDefault="0018467F" w:rsidP="001846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ПК-11. Способен оказывать паллиативную медицинскую помощь детям с заболеваниями и (или) состояниями сердечно-сосудистой системы в стационарных условиях, а также в условиях дневного стационара</w:t>
            </w:r>
          </w:p>
        </w:tc>
      </w:tr>
      <w:tr w:rsidR="0018467F" w:rsidRPr="00822EE5" w:rsidTr="00C50E99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8467F" w:rsidRPr="00C267B7" w:rsidRDefault="0018467F" w:rsidP="0018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F" w:rsidRDefault="0018467F" w:rsidP="001846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ПК-12. Способен проводить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 в стационарных условиях, а также в условиях дневного стационара</w:t>
            </w:r>
          </w:p>
        </w:tc>
      </w:tr>
      <w:tr w:rsidR="0018467F" w:rsidRPr="00822EE5" w:rsidTr="00C50E99">
        <w:tc>
          <w:tcPr>
            <w:tcW w:w="1985" w:type="dxa"/>
            <w:vMerge/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8467F" w:rsidRPr="00637CFF" w:rsidRDefault="0018467F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8467F" w:rsidRPr="00C267B7" w:rsidRDefault="0018467F" w:rsidP="0018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F" w:rsidRDefault="0018467F" w:rsidP="001846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ПК-13. Способен оказывать неотложную медицинскую помощь пациентам в стационарных условиях, а также в условиях дневного стационара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3"/>
        <w:gridCol w:w="2877"/>
        <w:gridCol w:w="2085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18467F">
              <w:rPr>
                <w:rFonts w:ascii="Times New Roman" w:hAnsi="Times New Roman"/>
                <w:color w:val="000000"/>
                <w:sz w:val="28"/>
                <w:szCs w:val="28"/>
              </w:rPr>
              <w:t>Врач – детский кардиолог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6" w:type="dxa"/>
            <w:shd w:val="clear" w:color="auto" w:fill="auto"/>
          </w:tcPr>
          <w:p w:rsidR="00CE1111" w:rsidRPr="004316EE" w:rsidRDefault="0018467F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31.09.13 Детская кардиология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4316EE" w:rsidRDefault="0018467F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31.09.13 Детская кардиология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55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06" w:rsidRDefault="008F0706" w:rsidP="00CE1111">
      <w:pPr>
        <w:spacing w:after="0" w:line="240" w:lineRule="auto"/>
      </w:pPr>
      <w:r>
        <w:separator/>
      </w:r>
    </w:p>
  </w:endnote>
  <w:endnote w:type="continuationSeparator" w:id="1">
    <w:p w:rsidR="008F0706" w:rsidRDefault="008F0706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8" w:rsidRDefault="0055526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555268" w:rsidRDefault="002E673D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555268" w:rsidRPr="00555268">
      <w:rPr>
        <w:rFonts w:ascii="Times New Roman" w:hAnsi="Times New Roman"/>
        <w:sz w:val="16"/>
        <w:szCs w:val="16"/>
      </w:rPr>
      <w:t>Детская кардиологи</w:t>
    </w:r>
    <w:r w:rsidR="00555268">
      <w:rPr>
        <w:rFonts w:ascii="Times New Roman" w:hAnsi="Times New Roman"/>
        <w:sz w:val="16"/>
        <w:szCs w:val="16"/>
      </w:rPr>
      <w:t>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06" w:rsidRDefault="008F0706" w:rsidP="00CE1111">
      <w:pPr>
        <w:spacing w:after="0" w:line="240" w:lineRule="auto"/>
      </w:pPr>
      <w:r>
        <w:separator/>
      </w:r>
    </w:p>
  </w:footnote>
  <w:footnote w:type="continuationSeparator" w:id="1">
    <w:p w:rsidR="008F0706" w:rsidRDefault="008F0706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8" w:rsidRDefault="005552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145D26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555268">
      <w:rPr>
        <w:rFonts w:ascii="Times New Roman" w:hAnsi="Times New Roman"/>
        <w:noProof/>
        <w:sz w:val="24"/>
      </w:rPr>
      <w:t>2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8140E"/>
    <w:rsid w:val="00093A1F"/>
    <w:rsid w:val="000A08C5"/>
    <w:rsid w:val="000C7A2E"/>
    <w:rsid w:val="000D24CE"/>
    <w:rsid w:val="000D5987"/>
    <w:rsid w:val="001001D3"/>
    <w:rsid w:val="00142555"/>
    <w:rsid w:val="00145D26"/>
    <w:rsid w:val="0018467F"/>
    <w:rsid w:val="001C4E37"/>
    <w:rsid w:val="00212EC3"/>
    <w:rsid w:val="002136AB"/>
    <w:rsid w:val="002E5845"/>
    <w:rsid w:val="002E673D"/>
    <w:rsid w:val="00305780"/>
    <w:rsid w:val="00430B7B"/>
    <w:rsid w:val="004316EE"/>
    <w:rsid w:val="004455A2"/>
    <w:rsid w:val="004C4D81"/>
    <w:rsid w:val="004C53EC"/>
    <w:rsid w:val="005020B4"/>
    <w:rsid w:val="00555268"/>
    <w:rsid w:val="005655EF"/>
    <w:rsid w:val="00565725"/>
    <w:rsid w:val="005B7148"/>
    <w:rsid w:val="005F7694"/>
    <w:rsid w:val="006209DE"/>
    <w:rsid w:val="00683D41"/>
    <w:rsid w:val="006B1BCC"/>
    <w:rsid w:val="006C2A32"/>
    <w:rsid w:val="006C4483"/>
    <w:rsid w:val="006F683D"/>
    <w:rsid w:val="007423A5"/>
    <w:rsid w:val="00743A60"/>
    <w:rsid w:val="0081643A"/>
    <w:rsid w:val="00872DFF"/>
    <w:rsid w:val="008A2273"/>
    <w:rsid w:val="008F0706"/>
    <w:rsid w:val="00903F41"/>
    <w:rsid w:val="00915AE7"/>
    <w:rsid w:val="00925A5F"/>
    <w:rsid w:val="00984552"/>
    <w:rsid w:val="00996463"/>
    <w:rsid w:val="009A04D5"/>
    <w:rsid w:val="009D5050"/>
    <w:rsid w:val="009E4966"/>
    <w:rsid w:val="00A315BC"/>
    <w:rsid w:val="00A33027"/>
    <w:rsid w:val="00AA0F5A"/>
    <w:rsid w:val="00B44C03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6F28"/>
    <w:rsid w:val="00DD3BB1"/>
    <w:rsid w:val="00E16619"/>
    <w:rsid w:val="00E90A45"/>
    <w:rsid w:val="00E93168"/>
    <w:rsid w:val="00EA4071"/>
    <w:rsid w:val="00F32D5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7</cp:revision>
  <cp:lastPrinted>2018-04-24T07:41:00Z</cp:lastPrinted>
  <dcterms:created xsi:type="dcterms:W3CDTF">2018-04-24T08:13:00Z</dcterms:created>
  <dcterms:modified xsi:type="dcterms:W3CDTF">2018-05-23T13:42:00Z</dcterms:modified>
</cp:coreProperties>
</file>